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The observational data of photosynthetic physiological and moisture physiology of desert dominant species from Jun to Jul, 2014</w:t>
      </w:r>
    </w:p>
    <w:p>
      <w:r>
        <w:rPr>
          <w:sz w:val="32"/>
        </w:rPr>
        <w:t>1、Description</w:t>
      </w:r>
    </w:p>
    <w:p>
      <w:pPr>
        <w:ind w:firstLine="432"/>
      </w:pPr>
      <w:r>
        <w:rPr>
          <w:sz w:val="22"/>
        </w:rPr>
        <w:t>In the late June and early July of 2014, the dominant species of desert plants in the lower reaches of Heihe River, Lycium barbarum and Sophora alopecuroides, were selected. Using the LI-6400 portable photosynthesis system (LI-COR, USA), the photosynthetic and water physiological characteristics of desert plants were measured and analyzed.</w:t>
      </w:r>
    </w:p>
    <w:p>
      <w:r>
        <w:rPr>
          <w:sz w:val="32"/>
        </w:rPr>
        <w:t>2、Keywords</w:t>
      </w:r>
    </w:p>
    <w:p>
      <w:pPr>
        <w:ind w:left="432"/>
      </w:pPr>
      <w:r>
        <w:rPr>
          <w:sz w:val="22"/>
        </w:rPr>
        <w:t>Theme：</w:t>
      </w:r>
      <w:r>
        <w:rPr>
          <w:sz w:val="22"/>
        </w:rPr>
        <w:t>Photosynthesis</w:t>
      </w:r>
      <w:r>
        <w:t>,</w:t>
      </w:r>
      <w:r>
        <w:rPr>
          <w:sz w:val="22"/>
        </w:rPr>
        <w:t>Water consumption</w:t>
      </w:r>
      <w:r>
        <w:t>,</w:t>
      </w:r>
      <w:r>
        <w:rPr>
          <w:sz w:val="22"/>
        </w:rPr>
        <w:t>Vegetation</w:t>
      </w:r>
      <w:r>
        <w:t>,</w:t>
      </w:r>
      <w:r>
        <w:rPr>
          <w:sz w:val="22"/>
        </w:rPr>
        <w:t>Desert plants</w:t>
        <w:br/>
      </w:r>
      <w:r>
        <w:rPr>
          <w:sz w:val="22"/>
        </w:rPr>
        <w:t>Discipline：</w:t>
      </w:r>
      <w:r>
        <w:rPr>
          <w:sz w:val="22"/>
        </w:rPr>
        <w:t>Terrestrial Surface</w:t>
        <w:br/>
      </w:r>
      <w:r>
        <w:rPr>
          <w:sz w:val="22"/>
        </w:rPr>
        <w:t>Places：</w:t>
      </w:r>
      <w:r>
        <w:rPr>
          <w:sz w:val="22"/>
        </w:rPr>
        <w:t>Heihe River Basin</w:t>
      </w:r>
      <w:r>
        <w:t xml:space="preserve">, </w:t>
      </w:r>
      <w:r>
        <w:rPr>
          <w:sz w:val="22"/>
        </w:rPr>
        <w:t>The Lower Reaches of Heihe River Basin</w:t>
        <w:br/>
      </w:r>
      <w:r>
        <w:rPr>
          <w:sz w:val="22"/>
        </w:rPr>
        <w:t>Time：</w:t>
      </w:r>
      <w:r>
        <w:rPr>
          <w:sz w:val="22"/>
        </w:rPr>
        <w:t>2014</w:t>
      </w:r>
    </w:p>
    <w:p>
      <w:r>
        <w:rPr>
          <w:sz w:val="32"/>
        </w:rPr>
        <w:t>3、Data details</w:t>
      </w:r>
    </w:p>
    <w:p>
      <w:pPr>
        <w:ind w:left="432"/>
      </w:pPr>
      <w:r>
        <w:rPr>
          <w:sz w:val="22"/>
        </w:rPr>
        <w:t>1.Scale：None</w:t>
      </w:r>
    </w:p>
    <w:p>
      <w:pPr>
        <w:ind w:left="432"/>
      </w:pPr>
      <w:r>
        <w:rPr>
          <w:sz w:val="22"/>
        </w:rPr>
        <w:t>2.Projection：None</w:t>
      </w:r>
    </w:p>
    <w:p>
      <w:pPr>
        <w:ind w:left="432"/>
      </w:pPr>
      <w:r>
        <w:rPr>
          <w:sz w:val="22"/>
        </w:rPr>
        <w:t>3.Filesize：2.8MB</w:t>
      </w:r>
    </w:p>
    <w:p>
      <w:pPr>
        <w:ind w:left="432"/>
      </w:pPr>
      <w:r>
        <w:rPr>
          <w:sz w:val="22"/>
        </w:rPr>
        <w:t>4.Data format：EXCEL</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north：42.1147</w:t>
            </w:r>
          </w:p>
        </w:tc>
        <w:tc>
          <w:tcPr>
            <w:tcW w:type="dxa" w:w="2880"/>
          </w:tcPr>
          <w:p>
            <w:r>
              <w:t>-</w:t>
            </w:r>
          </w:p>
        </w:tc>
      </w:tr>
      <w:tr>
        <w:tc>
          <w:tcPr>
            <w:tcW w:type="dxa" w:w="2880"/>
          </w:tcPr>
          <w:p>
            <w:r>
              <w:t>west：99.7528</w:t>
            </w:r>
          </w:p>
        </w:tc>
        <w:tc>
          <w:tcPr>
            <w:tcW w:type="dxa" w:w="2880"/>
          </w:tcPr>
          <w:p>
            <w:r>
              <w:t>-</w:t>
            </w:r>
          </w:p>
        </w:tc>
        <w:tc>
          <w:tcPr>
            <w:tcW w:type="dxa" w:w="2880"/>
          </w:tcPr>
          <w:p>
            <w:r>
              <w:t>east：101.2831</w:t>
            </w:r>
          </w:p>
        </w:tc>
      </w:tr>
      <w:tr>
        <w:tc>
          <w:tcPr>
            <w:tcW w:type="dxa" w:w="2880"/>
          </w:tcPr>
          <w:p>
            <w:r>
              <w:t>-</w:t>
            </w:r>
          </w:p>
        </w:tc>
        <w:tc>
          <w:tcPr>
            <w:tcW w:type="dxa" w:w="2880"/>
          </w:tcPr>
          <w:p>
            <w:r>
              <w:t>south：38.7069</w:t>
            </w:r>
          </w:p>
        </w:tc>
        <w:tc>
          <w:tcPr>
            <w:tcW w:type="dxa" w:w="2880"/>
          </w:tcPr>
          <w:p>
            <w:r>
              <w:t>-</w:t>
            </w:r>
          </w:p>
        </w:tc>
      </w:tr>
    </w:tbl>
    <w:p>
      <w:r>
        <w:rPr>
          <w:sz w:val="32"/>
        </w:rPr>
        <w:t>5、Time frame:</w:t>
      </w:r>
      <w:r>
        <w:rPr>
          <w:sz w:val="22"/>
        </w:rPr>
        <w:t>2014-06-13 16:00:00+00:00</w:t>
      </w:r>
      <w:r>
        <w:rPr>
          <w:sz w:val="22"/>
        </w:rPr>
        <w:t>--</w:t>
      </w:r>
      <w:r>
        <w:rPr>
          <w:sz w:val="22"/>
        </w:rPr>
        <w:t>2014-08-13 03:59:59+00:00</w:t>
      </w:r>
    </w:p>
    <w:p>
      <w:r>
        <w:rPr>
          <w:sz w:val="32"/>
        </w:rPr>
        <w:t>6、Reference method</w:t>
      </w:r>
    </w:p>
    <w:p>
      <w:pPr>
        <w:ind w:left="432"/>
      </w:pPr>
      <w:r>
        <w:rPr>
          <w:sz w:val="22"/>
        </w:rPr>
        <w:t xml:space="preserve">References to data: </w:t>
      </w:r>
    </w:p>
    <w:p>
      <w:pPr>
        <w:ind w:left="432" w:firstLine="432"/>
      </w:pPr>
      <w:r>
        <w:t>SU Peixi. The observational data of photosynthetic physiological and moisture physiology of desert dominant species from Jun to Jul, 2014. A Big Earth Data Platform for Three Poles, doi:10.3972/heihe.213.2014.db</w:t>
      </w:r>
      <w:r>
        <w:rPr>
          <w:sz w:val="22"/>
        </w:rPr>
        <w:t>2016</w:t>
      </w:r>
    </w:p>
    <w:p>
      <w:pPr>
        <w:ind w:left="432"/>
      </w:pPr>
      <w:r>
        <w:rPr>
          <w:sz w:val="22"/>
        </w:rPr>
        <w:t xml:space="preserve">References to articles: </w:t>
      </w:r>
    </w:p>
    <w:p>
      <w:pPr>
        <w:ind w:left="864"/>
      </w:pPr>
    </w:p>
    <w:p>
      <w:r>
        <w:rPr>
          <w:sz w:val="32"/>
        </w:rPr>
        <w:t>7、Supporting project information</w:t>
      </w:r>
    </w:p>
    <w:p>
      <w:r>
        <w:rPr>
          <w:sz w:val="32"/>
        </w:rPr>
        <w:t>8、Data resource provider</w:t>
      </w:r>
    </w:p>
    <w:p>
      <w:pPr>
        <w:ind w:left="432"/>
      </w:pPr>
      <w:r>
        <w:rPr>
          <w:sz w:val="22"/>
        </w:rPr>
        <w:t xml:space="preserve">name: </w:t>
      </w:r>
      <w:r>
        <w:rPr>
          <w:sz w:val="22"/>
        </w:rPr>
        <w:t>SU Peixi</w:t>
        <w:br/>
      </w:r>
      <w:r>
        <w:rPr>
          <w:sz w:val="22"/>
        </w:rPr>
        <w:t xml:space="preserve">unit: </w:t>
      </w:r>
      <w:r>
        <w:rPr>
          <w:sz w:val="22"/>
        </w:rPr>
        <w:t>Cold and Arid Regions Environmental and Engineering Research Institute, Chinese Academy of Sciences</w:t>
        <w:br/>
      </w:r>
      <w:r>
        <w:rPr>
          <w:sz w:val="22"/>
        </w:rPr>
        <w:t xml:space="preserve">email: </w:t>
      </w:r>
      <w:r>
        <w:rPr>
          <w:sz w:val="22"/>
        </w:rPr>
        <w:t>supx@lzb.ac.cn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