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resident site distribution data of the Heihe River Basin</w:t>
      </w:r>
    </w:p>
    <w:p>
      <w:r>
        <w:rPr>
          <w:sz w:val="32"/>
        </w:rPr>
        <w:t>1、Description</w:t>
      </w:r>
    </w:p>
    <w:p>
      <w:pPr>
        <w:ind w:firstLine="432"/>
      </w:pPr>
      <w:r>
        <w:rPr>
          <w:sz w:val="22"/>
        </w:rPr>
        <w:t>This data mainly includes the distribution of city, county, township and village level residential areas in the Heihe River Basin, and the data base year is 2009. The data is based on the existing data of residential areas in Heihe River Basin, the latest Google electronic map and the atlas of Gansu Province. There are two main attributes of the data, i.e. residential area classification and total name. The residential area classification is classified according to level 1 - City, level 2 - County, level 3 - Township and level 4 - village.</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1.Scale：None</w:t>
      </w:r>
    </w:p>
    <w:p>
      <w:pPr>
        <w:ind w:left="432"/>
      </w:pPr>
      <w:r>
        <w:rPr>
          <w:sz w:val="22"/>
        </w:rPr>
        <w:t>2.Projection：4326</w:t>
      </w:r>
    </w:p>
    <w:p>
      <w:pPr>
        <w:ind w:left="432"/>
      </w:pPr>
      <w:r>
        <w:rPr>
          <w:sz w:val="22"/>
        </w:rPr>
        <w:t>3.Filesize：9.93MB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2018-11-24 18:47:57+00:00</w:t>
      </w:r>
      <w:r>
        <w:rPr>
          <w:sz w:val="22"/>
        </w:rPr>
        <w:t>--</w:t>
      </w:r>
      <w:r>
        <w:rPr>
          <w:sz w:val="22"/>
        </w:rPr>
        <w:t>2018-11-24 18:47:57+00:00</w:t>
      </w:r>
    </w:p>
    <w:p>
      <w:r>
        <w:rPr>
          <w:sz w:val="32"/>
        </w:rPr>
        <w:t>6、Reference method</w:t>
      </w:r>
    </w:p>
    <w:p>
      <w:pPr>
        <w:ind w:left="432"/>
      </w:pPr>
      <w:r>
        <w:rPr>
          <w:sz w:val="22"/>
        </w:rPr>
        <w:t xml:space="preserve">References to data: </w:t>
      </w:r>
    </w:p>
    <w:p>
      <w:pPr>
        <w:ind w:left="432" w:firstLine="432"/>
      </w:pPr>
      <w:r>
        <w:t xml:space="preserve">National Basic Geographic Information Center. The resident site distribution data of the Heihe River Basin.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