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PALYNOLOGICAL records of human activities in the middle and late Holocene of the Tibetan Plateau</w:t>
      </w:r>
    </w:p>
    <w:p>
      <w:r>
        <w:rPr>
          <w:sz w:val="32"/>
        </w:rPr>
        <w:t>1、Description</w:t>
      </w:r>
    </w:p>
    <w:p>
      <w:pPr>
        <w:ind w:firstLine="432"/>
      </w:pPr>
      <w:r>
        <w:rPr>
          <w:sz w:val="22"/>
        </w:rPr>
        <w:t>Based on the previous research results, this paper collected the palynological sequence of the plateau strata from the published literature at home and abroad, and selected reliable records, in order to explore the information of human activities in this area. The selection principles are as follows: (1) the palynological sequence time should cover the middle and late Holocene (since 6.0kabp.)（ 2) The time series are expressed quantitatively in calendar year or 14C year time system（ 3) It has high resolution（ 4) According to the above principles, 28 fossil sporopollen sequences are selected in this area. Age correction: some of the 28 sequences are calendar years, and some are carbon 14 dating, so they are corrected to calendar years. Data acquisition: the sequence is quantified, and the sporopollen content and corresponding age of the sequence are read to ensure the validity of the data, The inflection point data is selected first, and the average sporopollen content data of less than 100 years is selected. A total of 568 sporopollen records are obtained from 28 sequences, Abstract and calculate the parasporal pollen records since the middle and late Holocene (6.0 ~ 2.0 Ka B.P.) in the merging cost area. Based on the original parasporal pollen records extracted from 28 stratigraphic fossil sporopollen sequences, the deviation method is used to standardize the sequence, so as to eliminate the dimensional differences between different sporopollen types and compare them, The original data after standardization is converted into standardized values, and then the average value of each record in each partition is calculated, so that it can be combined with the sporopollen records in the cost area, which is called companion index in this paper. It means that the higher the index is, the stronger the intensity of human activity is, and the lower the index is, the weaker it is</w:t>
      </w:r>
    </w:p>
    <w:p>
      <w:r>
        <w:rPr>
          <w:sz w:val="32"/>
        </w:rPr>
        <w:t>2、Keywords</w:t>
      </w:r>
    </w:p>
    <w:p>
      <w:pPr>
        <w:ind w:left="432"/>
      </w:pPr>
      <w:r>
        <w:rPr>
          <w:sz w:val="22"/>
        </w:rPr>
        <w:t>Theme：</w:t>
      </w:r>
      <w:r>
        <w:rPr>
          <w:sz w:val="22"/>
        </w:rPr>
        <w:t>Marine Sediments</w:t>
        <w:br/>
      </w:r>
      <w:r>
        <w:rPr>
          <w:sz w:val="22"/>
        </w:rPr>
        <w:t>Discipline：</w:t>
      </w:r>
      <w:r>
        <w:rPr>
          <w:sz w:val="22"/>
        </w:rPr>
        <w:t>Palaeoenvironment</w:t>
        <w:br/>
      </w:r>
      <w:r>
        <w:rPr>
          <w:sz w:val="22"/>
        </w:rPr>
        <w:t>Places：</w:t>
      </w:r>
      <w:r>
        <w:rPr>
          <w:sz w:val="22"/>
        </w:rPr>
        <w:t>Qinghai-Tibetan plateau</w:t>
        <w:br/>
      </w:r>
      <w:r>
        <w:rPr>
          <w:sz w:val="22"/>
        </w:rPr>
        <w:t>Time：</w:t>
      </w:r>
      <w:r>
        <w:rPr>
          <w:sz w:val="22"/>
        </w:rPr>
        <w:t>6000 - 2000 years ago</w:t>
      </w:r>
    </w:p>
    <w:p>
      <w:r>
        <w:rPr>
          <w:sz w:val="32"/>
        </w:rPr>
        <w:t>3、Data details</w:t>
      </w:r>
    </w:p>
    <w:p>
      <w:pPr>
        <w:ind w:left="432"/>
      </w:pPr>
      <w:r>
        <w:rPr>
          <w:sz w:val="22"/>
        </w:rPr>
        <w:t>1.Scale：None</w:t>
      </w:r>
    </w:p>
    <w:p>
      <w:pPr>
        <w:ind w:left="432"/>
      </w:pPr>
      <w:r>
        <w:rPr>
          <w:sz w:val="22"/>
        </w:rPr>
        <w:t>2.Projection：</w:t>
      </w:r>
    </w:p>
    <w:p>
      <w:pPr>
        <w:ind w:left="432"/>
      </w:pPr>
      <w:r>
        <w:rPr>
          <w:sz w:val="22"/>
        </w:rPr>
        <w:t>3.Filesize：1.78MB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west：75.0</w:t>
            </w:r>
          </w:p>
        </w:tc>
        <w:tc>
          <w:tcPr>
            <w:tcW w:type="dxa" w:w="2880"/>
          </w:tcPr>
          <w:p>
            <w:r>
              <w:t>-</w:t>
            </w:r>
          </w:p>
        </w:tc>
        <w:tc>
          <w:tcPr>
            <w:tcW w:type="dxa" w:w="2880"/>
          </w:tcPr>
          <w:p>
            <w:r>
              <w:t>east：106.0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HOU   Guangliang. PALYNOLOGICAL records of human activities in the middle and late Holocene of the Tibetan Plateau. A Big Earth Data Platform for Three Poles, doi:10.11888/Paleoenv.tpdc.271271</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Foundation of Qinghai Provincial Key Laboratory of Geospatial Information Technology and Application</w:t>
        <w:br/>
      </w:r>
      <w:r>
        <w:rPr>
          <w:sz w:val="22"/>
        </w:rPr>
        <w:t>National Natural Science Foundation of China, No.41761018</w:t>
        <w:br/>
      </w:r>
      <w:r>
        <w:rPr>
          <w:sz w:val="22"/>
        </w:rPr>
        <w:t>The Chinese Academy of Sciences (Class A) Strategic Priority Science and Technology Program</w:t>
        <w:br/>
      </w:r>
    </w:p>
    <w:p>
      <w:r>
        <w:rPr>
          <w:sz w:val="32"/>
        </w:rPr>
        <w:t>8、Data resource provider</w:t>
      </w:r>
    </w:p>
    <w:p>
      <w:pPr>
        <w:ind w:left="432"/>
      </w:pPr>
      <w:r>
        <w:rPr>
          <w:sz w:val="22"/>
        </w:rPr>
        <w:t xml:space="preserve">name: </w:t>
      </w:r>
      <w:r>
        <w:rPr>
          <w:sz w:val="22"/>
        </w:rPr>
        <w:t>HOU   Guangliang</w:t>
        <w:br/>
      </w:r>
      <w:r>
        <w:rPr>
          <w:sz w:val="22"/>
        </w:rPr>
        <w:t xml:space="preserve">unit: </w:t>
      </w:r>
      <w:r>
        <w:rPr>
          <w:sz w:val="22"/>
        </w:rPr>
        <w:t>QInghai Normal University</w:t>
        <w:br/>
      </w:r>
      <w:r>
        <w:rPr>
          <w:sz w:val="22"/>
        </w:rPr>
        <w:t xml:space="preserve">email: </w:t>
      </w:r>
      <w:r>
        <w:rPr>
          <w:sz w:val="22"/>
        </w:rPr>
        <w:t>hgl20@163. 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