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Inner Mongolia Autonomous Region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Inner Mongolia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3.Filesize：251.0MB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west：97.0</w:t>
            </w:r>
          </w:p>
        </w:tc>
        <w:tc>
          <w:tcPr>
            <w:tcW w:type="dxa" w:w="2880"/>
          </w:tcPr>
          <w:p>
            <w:r>
              <w:t>-</w:t>
            </w:r>
          </w:p>
        </w:tc>
        <w:tc>
          <w:tcPr>
            <w:tcW w:type="dxa" w:w="2880"/>
          </w:tcPr>
          <w:p>
            <w:r>
              <w:t>east：123.84</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2000-01-09 16:00:00+00:00</w:t>
      </w:r>
      <w:r>
        <w:rPr>
          <w:sz w:val="22"/>
        </w:rPr>
        <w:t>--</w:t>
      </w:r>
      <w:r>
        <w:rPr>
          <w:sz w:val="22"/>
        </w:rPr>
        <w:t>2001-01-09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Inner Mongolia Autonomous Region (2000). A Big Earth Data Platform for Three Poles, doi:10.11888/Socioeco.tpdc.270635</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