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response of grassland productivity to soil moisture under grazing disturbance in Heihe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 different observation data of Sunan, Gansu Province:</w:t>
        <w:br/>
        <w:t>1) The soil properties of grassland under different management measures, soil compactness, water permeability and soil moisture content of 4-5 grazing intensity grassland;</w:t>
        <w:br/>
        <w:t>2) The observation data of soil compactness, permeability and water content of different grazing management measures;</w:t>
        <w:br/>
        <w:t>3) Correlation analysis data of grassland community characteristic productivity and soil moisture;</w:t>
        <w:br/>
        <w:t>4) Correlation analysis data of height, coverage, biomass, flower shape, tiller and leaf characters of main plants with soil water content;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infiltration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2012-07-23 00:32:00+00:00</w:t>
      </w:r>
      <w:r>
        <w:rPr>
          <w:sz w:val="22"/>
        </w:rPr>
        <w:t>--</w:t>
      </w:r>
      <w:r>
        <w:rPr>
          <w:sz w:val="22"/>
        </w:rPr>
        <w:t>2014-09-30 00:33:00+00:00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response of grassland productivity to soil moisture under grazing disturbance in Heihe Basin. A Big Earth Data Platform for Three Poles, doi:10.3972/heihe.411.2014.db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