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setting of the sampling plots and stripes in the Linze grassland foci experimental area</w:t>
      </w:r>
    </w:p>
    <w:p>
      <w:r>
        <w:rPr>
          <w:sz w:val="32"/>
        </w:rPr>
        <w:t>1、Description</w:t>
      </w:r>
    </w:p>
    <w:p>
      <w:pPr>
        <w:ind w:firstLine="432"/>
      </w:pPr>
      <w:r>
        <w:rPr>
          <w:sz w:val="22"/>
        </w:rPr>
        <w:t>From May 2008 to July 2008, several synchronous observation quadrats were set up in the intensive observation area of Linze grassland. According to the spatial resolution of transit sensing, a 1.8km × 1.8km quadrat h and five 360m × 360m quadrats a, B, C, D and E are set up within 2km × 2km around Linze grassland station. There are 64 sampling points in sample h, numbered H01 to H64, and the distance between two adjacent points is 250m, mainly for MODIS synchronization. The sample a, B, C, D and e of 360m × 360m contains 49 sample points, the sample spacing is 60m, and the sample number is 01-49 (for example, sample a is a01-a49). The surface type of sample a is Phragmites australis, the surface type of sample B is saline alkali, and there are sparse Phragmites australis. The surface type of sample C is saline alkali, and Phragmites australis is more sparse than that of sample a. the surface type of sample D is alfalfa, and the surface type of sample e is alfalfa The type of table is barley field. A small sample of 120m × 120m is nested in each sample of a, B, C, D and e. the spacing of sample points in the small sample is 30m (see "sample distribution. PDF" in the data folder). Quadrats a, B, C, D, e and their nested small quadrats are mainly for ASAR, PALSAR, aster and airborne OMIS, widas synchronization. In addition, there are 7 microwave synchronous transects with 25 sampling points in each transect. The interval between the transects is 200m, and the interval between the sampling points on the transect is 100m. The No. l3-11 indicates the No. 11 sampling point on the No. 3 transect. PR2 is a 3 grid × 3 grid quadrat, and the distance between sampling points is 30 m. The number is pr11. There are also two PR2 transects, a total of 11 transects. The coordinates of all sample points are in Excel.</w:t>
      </w:r>
    </w:p>
    <w:p>
      <w:r>
        <w:rPr>
          <w:sz w:val="32"/>
        </w:rPr>
        <w:t>2、Keywords</w:t>
      </w:r>
    </w:p>
    <w:p>
      <w:pPr>
        <w:ind w:left="432"/>
      </w:pPr>
      <w:r>
        <w:rPr>
          <w:sz w:val="22"/>
        </w:rPr>
        <w:t>Theme：</w:t>
      </w:r>
      <w:r>
        <w:rPr>
          <w:sz w:val="22"/>
        </w:rPr>
        <w:t>Vegetation</w:t>
      </w:r>
      <w:r>
        <w:t>,</w:t>
      </w:r>
      <w:r>
        <w:rPr>
          <w:sz w:val="22"/>
        </w:rPr>
        <w:t>Vegetation investigation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3.Filesize：0.32MB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2008-06-03 10:59:00+00:00</w:t>
      </w:r>
      <w:r>
        <w:rPr>
          <w:sz w:val="22"/>
        </w:rPr>
        <w:t>--</w:t>
      </w:r>
      <w:r>
        <w:rPr>
          <w:sz w:val="22"/>
        </w:rPr>
        <w:t>2008-06-03 10:59:00+00:00</w:t>
      </w:r>
    </w:p>
    <w:p>
      <w:r>
        <w:rPr>
          <w:sz w:val="32"/>
        </w:rPr>
        <w:t>6、Reference method</w:t>
      </w:r>
    </w:p>
    <w:p>
      <w:pPr>
        <w:ind w:left="432"/>
      </w:pPr>
      <w:r>
        <w:rPr>
          <w:sz w:val="22"/>
        </w:rPr>
        <w:t xml:space="preserve">References to data: </w:t>
      </w:r>
    </w:p>
    <w:p>
      <w:pPr>
        <w:ind w:left="432" w:firstLine="432"/>
      </w:pPr>
      <w:r>
        <w:t>LI Hongxing, WU Lizong, Qu Yonghua, WANG Xufeng, HUANG  Chunlin, ZHOU Hongmin. WATER: Dataset of setting of the sampling plots and stripes in the Linze grassland foci experimental area. A Big Earth Data Platform for Three Poles, doi:10.3972/water973.0269.db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Qu Yonghua</w:t>
        <w:br/>
      </w:r>
      <w:r>
        <w:rPr>
          <w:sz w:val="22"/>
        </w:rPr>
        <w:t xml:space="preserve">unit: </w:t>
      </w:r>
      <w:r>
        <w:rPr>
          <w:sz w:val="22"/>
        </w:rPr>
        <w:br/>
      </w:r>
      <w:r>
        <w:rPr>
          <w:sz w:val="22"/>
        </w:rPr>
        <w:t xml:space="preserve">email: </w:t>
      </w:r>
      <w:r>
        <w:rPr>
          <w:sz w:val="22"/>
        </w:rPr>
        <w:t>qyh@bnu.edu.cn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LI Hongxing</w:t>
        <w:br/>
      </w:r>
      <w:r>
        <w:rPr>
          <w:sz w:val="22"/>
        </w:rPr>
        <w:t xml:space="preserve">unit: </w:t>
      </w:r>
      <w:r>
        <w:rPr>
          <w:sz w:val="22"/>
        </w:rPr>
        <w:br/>
      </w:r>
      <w:r>
        <w:rPr>
          <w:sz w:val="22"/>
        </w:rPr>
        <w:t xml:space="preserve">email: </w:t>
      </w:r>
      <w:r>
        <w:rPr>
          <w:sz w:val="22"/>
        </w:rPr>
        <w:t>westdc@lzb.ac.cn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