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Composition analysis of Upper Triassic source rocks in Qiangtang Basin</w:t>
      </w:r>
    </w:p>
    <w:p>
      <w:r>
        <w:rPr>
          <w:sz w:val="32"/>
        </w:rPr>
        <w:t>1、Description</w:t>
      </w:r>
    </w:p>
    <w:p>
      <w:pPr>
        <w:ind w:firstLine="432"/>
      </w:pPr>
      <w:r>
        <w:rPr>
          <w:sz w:val="22"/>
        </w:rPr>
        <w:t>Qiangtang Basin is located between the Hoh Xil-Jinsha River tectonic belt and the Bangong-Nu  River  tectonic  belt,  is  an  important  petroleum-bearing  basin  in  the Qinghai-Tibet region of China. The basin has multiple sets of source rocks developed in the Mesozoic. The Triassic strata are widely distributed in the basin. Among them, the Upper Triassic has a large thickness and is considered as an important source rock, however,  there  is  still  a  lack  of  understanding  of  its  distribution,  hydrocarbon generation potential, and major controlling factors. In this paper, the Upper Triassic source rocks in the Qiangtang Basin were studied, and the key samples were taken in the  Quemo  Co  area  of  the  Northern  Qiangtang  Basin,  which  was  less  studied previously. The source rocks were evaluated based on the geochemical characteristics of the samples, and the provenance input and depositional environment of the source rocks were analyzed according to the characteristics of their biomarkers. Combining the results of previous studies on the source rocks of the Upper Triassic Xiaochaka Formation  in  the  Qiangtang  Basin,  the  distribution  characteristics,  hydrocarbon generation  potential,  and  the  controlling  factors  of  the  source  rocks  of  the  Upper Triassic in the Qiangtang Basin were studied. The analysis results of the samples of the Upper Triassic Bolila Formation and the Bagong  Formation  source  rocks  collected  in  the  Quemo  Co  area  of  the  Northern Qiangtang  Basin indicate  that  the  TOC range of the  Bolila  Formation limestone is 0.03%~0.53%  with  an  average  of  0.20%,  and  the  TOC  range  of  the  Bagong Formation mudstone is 0.57%~1.78% with an average of 1.04%. Both have reached the effective source rock grade, The source rocks of the Bolila formation reaches the level of medium source rock grade, and the organic matter abundance of the source rocks of the Bagong Formation is higher than that of the Bolila Formation and reach the medium-good source rock grade. The organic matter types of the source rocks are type  II 1 ,  and  the  Tmax  of  the  organic  matter  are  all  higher  than  455°C,  R O of  all samples are 1.3% to 2.0%, the organic matter maturity achieve high mature stage. The organic  matter  of  the  source  rocks  is  both  the  marine  aquatic  organism  and  the terrestrial plant, which is a mixed source. The source rocks sedimentary environment should be a reducing environment. The salinity of water body may be the salt water environment. Combining with previous research results, the authors evaluated the source rocks of  the  Upper  Triassic  Xiaochaka  Formation  in  the  Qiangtang  Basin.  The  organic matter  abundance  of  the  argillaceous  source  rocks  can  basically  reach  the medium-good  source  rock  level,  carbonate  source  rocks  organic  matter  abundance basically  reach  the  poor  source  rock  level.  The  types  of  the  organic  matter  in carbonate  source  rocks  are  mainly  Type  II 1 and  individually  Type  I.  The  organic matter types of the argillaceous source rocks are Type II 2 and Type III, and a small amount of the Type II 1 source rocks. The maturity of the source rocks is generally high-mature and over-mature stage, with only a few areas showing mature stage. The argillaceous source rocks are distributed in the Tumen-Sewa area, Zaxiahe-Ganggairi and Woruo Moutain-Geladandong area in the North and South Qiangtang Depression. Carbonate source rocks are mainly distributed in the South Qiangtang Depression. Affected by the regional tectonic movements, the main source rock beds in the Qiangtang  Basin  have  undergone  two  oil  and  gas  generation  processes  during  the burial  process.  The  Upper  Triassic  Xiaochaka  Formation  entered  the  hydrocarbon generation threshold in in the late Lower Jurassic to early Middle Jurassic and entered the  first  oil  generation  period.  The  basin  experienced  the  last  period  of  intense deformation  and  shrinkage  in  the  Late  Oligocene-Early  Miocene  and  entered  the second hydrocarbon generation period.</w:t>
      </w:r>
    </w:p>
    <w:p>
      <w:r>
        <w:rPr>
          <w:sz w:val="32"/>
        </w:rPr>
        <w:t>2、Keywords</w:t>
      </w:r>
    </w:p>
    <w:p>
      <w:pPr>
        <w:ind w:left="432"/>
      </w:pPr>
      <w:r>
        <w:rPr>
          <w:sz w:val="22"/>
        </w:rPr>
        <w:t>Theme：</w:t>
      </w:r>
      <w:r>
        <w:rPr>
          <w:sz w:val="22"/>
        </w:rPr>
        <w:t>Formation</w:t>
      </w:r>
      <w:r>
        <w:t>,</w:t>
      </w:r>
      <w:r>
        <w:rPr>
          <w:sz w:val="22"/>
        </w:rPr>
        <w:t>sedimentary rock</w:t>
      </w:r>
      <w:r>
        <w:t>,</w:t>
      </w:r>
      <w:r>
        <w:rPr>
          <w:sz w:val="22"/>
        </w:rPr>
        <w:t>Geochemistry</w:t>
      </w:r>
      <w:r>
        <w:t>,</w:t>
      </w:r>
      <w:r>
        <w:rPr>
          <w:sz w:val="22"/>
        </w:rPr>
        <w:t>Tectonics</w:t>
        <w:br/>
      </w:r>
      <w:r>
        <w:rPr>
          <w:sz w:val="22"/>
        </w:rPr>
        <w:t>Discipline：</w:t>
      </w:r>
      <w:r>
        <w:rPr>
          <w:sz w:val="22"/>
        </w:rPr>
        <w:t>Solid earth</w:t>
        <w:br/>
      </w:r>
      <w:r>
        <w:rPr>
          <w:sz w:val="22"/>
        </w:rPr>
        <w:t>Places：</w:t>
      </w:r>
      <w:r>
        <w:rPr>
          <w:sz w:val="22"/>
        </w:rPr>
        <w:t>Qiangtang Basin</w:t>
        <w:br/>
      </w:r>
      <w:r>
        <w:rPr>
          <w:sz w:val="22"/>
        </w:rPr>
        <w:t>Time：</w:t>
      </w:r>
      <w:r>
        <w:rPr>
          <w:sz w:val="22"/>
        </w:rPr>
        <w:t>Early Triassic</w:t>
      </w:r>
    </w:p>
    <w:p>
      <w:r>
        <w:rPr>
          <w:sz w:val="32"/>
        </w:rPr>
        <w:t>3、Data details</w:t>
      </w:r>
    </w:p>
    <w:p>
      <w:pPr>
        <w:ind w:left="432"/>
      </w:pPr>
      <w:r>
        <w:rPr>
          <w:sz w:val="22"/>
        </w:rPr>
        <w:t>1.Scale：None</w:t>
      </w:r>
    </w:p>
    <w:p>
      <w:pPr>
        <w:ind w:left="432"/>
      </w:pPr>
      <w:r>
        <w:rPr>
          <w:sz w:val="22"/>
        </w:rPr>
        <w:t>2.Projection：</w:t>
      </w:r>
    </w:p>
    <w:p>
      <w:pPr>
        <w:ind w:left="432"/>
      </w:pPr>
      <w:r>
        <w:rPr>
          <w:sz w:val="22"/>
        </w:rPr>
        <w:t>3.Filesize：0.25MB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west：91.0</w:t>
            </w:r>
          </w:p>
        </w:tc>
        <w:tc>
          <w:tcPr>
            <w:tcW w:type="dxa" w:w="2880"/>
          </w:tcPr>
          <w:p>
            <w:r>
              <w:t>-</w:t>
            </w:r>
          </w:p>
        </w:tc>
        <w:tc>
          <w:tcPr>
            <w:tcW w:type="dxa" w:w="2880"/>
          </w:tcPr>
          <w:p>
            <w:r>
              <w:t>east：91.5</w:t>
            </w:r>
          </w:p>
        </w:tc>
      </w:tr>
      <w:tr>
        <w:tc>
          <w:tcPr>
            <w:tcW w:type="dxa" w:w="2880"/>
          </w:tcPr>
          <w:p>
            <w:r>
              <w:t>-</w:t>
            </w:r>
          </w:p>
        </w:tc>
        <w:tc>
          <w:tcPr>
            <w:tcW w:type="dxa" w:w="2880"/>
          </w:tcPr>
          <w:p>
            <w:r>
              <w:t>south：33.5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HAN   Zhongpeng. Composition analysis of Upper Triassic source rocks in Qiangtang Basin. A Big Earth Data Platform for Three Poles, doi:10.11888/SolidEar.tpdc.271829</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HAN   Zhongpeng</w:t>
        <w:br/>
      </w:r>
      <w:r>
        <w:rPr>
          <w:sz w:val="22"/>
        </w:rPr>
        <w:t xml:space="preserve">unit: </w:t>
      </w:r>
      <w:r>
        <w:rPr>
          <w:sz w:val="22"/>
        </w:rPr>
        <w:br/>
      </w:r>
      <w:r>
        <w:rPr>
          <w:sz w:val="22"/>
        </w:rPr>
        <w:t xml:space="preserve">email: </w:t>
      </w:r>
      <w:r>
        <w:rPr>
          <w:sz w:val="22"/>
        </w:rPr>
        <w:t>hanzp@cugb.edu.cn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