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 of Zhangye city (2007)</w:t>
      </w:r>
    </w:p>
    <w:p>
      <w:r>
        <w:rPr>
          <w:sz w:val="32"/>
        </w:rPr>
        <w:t>1、Description</w:t>
      </w:r>
    </w:p>
    <w:p>
      <w:pPr>
        <w:ind w:firstLine="432"/>
      </w:pPr>
      <w:r>
        <w:rPr>
          <w:sz w:val="22"/>
        </w:rPr>
        <w:t>This data set is one of the results of the project "Determination of Cultivated Land Use Coefficient and Land Use Change Research in Zhangye City". It is a land use database in Zhangye City based on Landsat TM and ETM remote sensing data.  The land use data adopts a hierarchical land cover classification system, which divides the land use types of Zhangye City into 6 first-class categories (cultivated land, forest land, grassland, water area, land for urban and rural industrial and mining residents and unused land) and 25 second-class categories.  The data range includes Shandan, Minle, Linze, Gaotai, Sunan Yugu Autonomous County and Ganzhou District.  The classification standard adopts the land use classification standard used by the Chinese Academy of Sciences since 1986.  The data type is vector polygon and stored in Shape format.  The data range covers Zhangye City.</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Zhangye city</w:t>
        <w:br/>
      </w:r>
      <w:r>
        <w:rPr>
          <w:sz w:val="22"/>
        </w:rPr>
        <w:t>Time：</w:t>
      </w:r>
      <w:r>
        <w:rPr>
          <w:sz w:val="22"/>
        </w:rPr>
        <w:t>2007</w:t>
      </w:r>
    </w:p>
    <w:p>
      <w:r>
        <w:rPr>
          <w:sz w:val="32"/>
        </w:rPr>
        <w:t>3、Data details</w:t>
      </w:r>
    </w:p>
    <w:p>
      <w:pPr>
        <w:ind w:left="432"/>
      </w:pPr>
      <w:r>
        <w:rPr>
          <w:sz w:val="22"/>
        </w:rPr>
        <w:t>1.Scale：None</w:t>
      </w:r>
    </w:p>
    <w:p>
      <w:pPr>
        <w:ind w:left="432"/>
      </w:pPr>
      <w:r>
        <w:rPr>
          <w:sz w:val="22"/>
        </w:rPr>
        <w:t>2.Projection：4326</w:t>
      </w:r>
    </w:p>
    <w:p>
      <w:pPr>
        <w:ind w:left="432"/>
      </w:pPr>
      <w:r>
        <w:rPr>
          <w:sz w:val="22"/>
        </w:rPr>
        <w:t>3.Filesize：200.86MB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2018-11-25 18:50:58+00:00</w:t>
      </w:r>
      <w:r>
        <w:rPr>
          <w:sz w:val="22"/>
        </w:rPr>
        <w:t>--</w:t>
      </w:r>
      <w:r>
        <w:rPr>
          <w:sz w:val="22"/>
        </w:rPr>
        <w:t>2018-11-25 18:50:58+00:00</w:t>
      </w:r>
    </w:p>
    <w:p>
      <w:r>
        <w:rPr>
          <w:sz w:val="32"/>
        </w:rPr>
        <w:t>6、Reference method</w:t>
      </w:r>
    </w:p>
    <w:p>
      <w:pPr>
        <w:ind w:left="432"/>
      </w:pPr>
      <w:r>
        <w:rPr>
          <w:sz w:val="22"/>
        </w:rPr>
        <w:t xml:space="preserve">References to data: </w:t>
      </w:r>
    </w:p>
    <w:p>
      <w:pPr>
        <w:ind w:left="432" w:firstLine="432"/>
      </w:pPr>
      <w:r>
        <w:t>LI Xin, HU   Xiaoli, WANG Jianhua. Landuse/landcover data of Zhangye city (2007). A Big Earth Data Platform for Three Poles, doi:10.3972/heihe.018.2013.db</w:t>
      </w:r>
      <w:r>
        <w:rPr>
          <w:sz w:val="22"/>
        </w:rPr>
        <w:t>2015</w:t>
      </w:r>
    </w:p>
    <w:p>
      <w:pPr>
        <w:ind w:left="432"/>
      </w:pPr>
      <w:r>
        <w:rPr>
          <w:sz w:val="22"/>
        </w:rPr>
        <w:t xml:space="preserve">References to articles: </w:t>
      </w:r>
    </w:p>
    <w:p>
      <w:pPr>
        <w:ind w:left="864"/>
      </w:pPr>
      <w:r>
        <w:t>Hu XL, Lu L, Li X, Wang JH, Guo M. Land Use/Cover Change in the Middle Reaches of the Heihe River Basin over 2000-2011 and Its Implications for Sustainable Water Resource Management. PLoS ONE, 2015, 10(6): e0128960. DOI: 10.1371/journal.pone.0128960.</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HU   Xiaoli</w:t>
        <w:br/>
      </w:r>
      <w:r>
        <w:rPr>
          <w:sz w:val="22"/>
        </w:rPr>
        <w:t xml:space="preserve">unit: </w:t>
      </w:r>
      <w:r>
        <w:rPr>
          <w:sz w:val="22"/>
        </w:rPr>
        <w:br/>
      </w:r>
      <w:r>
        <w:rPr>
          <w:sz w:val="22"/>
        </w:rPr>
        <w:t xml:space="preserve">email: </w:t>
      </w:r>
      <w:r>
        <w:rPr>
          <w:sz w:val="22"/>
        </w:rPr>
        <w:t>huxiaoli@lzb.ac.cn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