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Birds in Hoh Xil area of Qinghai Province (may August 1990)</w:t>
      </w:r>
    </w:p>
    <w:p>
      <w:r>
        <w:rPr>
          <w:sz w:val="32"/>
        </w:rPr>
        <w:t>1、Description</w:t>
      </w:r>
    </w:p>
    <w:p>
      <w:pPr>
        <w:ind w:firstLine="432"/>
      </w:pPr>
      <w:r>
        <w:rPr>
          <w:sz w:val="22"/>
        </w:rPr>
        <w:t>The data of birds in Kekexili area of Qinghai Province are from the comprehensive scientific investigation of Kekexili area carried out from May to August 1990. In the composition of birds, all of them are Palaearctic, and the composition of Qinghai Tibet area accounts for a large proportion, reaching as many as 18 species. Kekexili is closely related to the whole plateau in terms of geological structure or physical and geographical conditions, and its bird composition also reflects The correlation is analyzed. On the one hand, the composition of the Qinghai Tibet region accounts for a large proportion; on the other hand, the local habitat formed by its special location is extremely arid, which makes it difficult for the composition of the Qinghai Tibet region to extend into its hinterland; on the other hand, the composition of the Inner Mongolia new area is difficult to adapt due to the high temperature and cold, which makes the bird species, distribution and population in the Qinghai Tibet Plateau extremely low Different from other areas of the plateau, Hoh Xil area has always been an uninhabited area, lacking zoological data, which is conducive to the study of Hoh Xil area.</w:t>
      </w:r>
    </w:p>
    <w:p>
      <w:r>
        <w:rPr>
          <w:sz w:val="32"/>
        </w:rPr>
        <w:t>2、Keywords</w:t>
      </w:r>
    </w:p>
    <w:p>
      <w:pPr>
        <w:ind w:left="432"/>
      </w:pPr>
      <w:r>
        <w:rPr>
          <w:sz w:val="22"/>
        </w:rPr>
        <w:t>Theme：</w:t>
      </w:r>
      <w:r>
        <w:rPr>
          <w:sz w:val="22"/>
        </w:rPr>
        <w:t>Biological Resources</w:t>
      </w:r>
      <w:r>
        <w:t>,</w:t>
      </w:r>
      <w:r>
        <w:rPr>
          <w:sz w:val="22"/>
        </w:rPr>
        <w:t>Species diversity</w:t>
        <w:br/>
      </w:r>
      <w:r>
        <w:rPr>
          <w:sz w:val="22"/>
        </w:rPr>
        <w:t>Discipline：</w:t>
      </w:r>
      <w:r>
        <w:rPr>
          <w:sz w:val="22"/>
        </w:rPr>
        <w:t>Human-nature Relationship</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Zuojian. Birds in Hoh Xil area of Qinghai Province (may August 1990). A Big Earth Data Platform for Three Poles, doi:10.11888/HumanNat.tpdc.272561</w:t>
      </w:r>
      <w:r>
        <w:rPr>
          <w:sz w:val="22"/>
        </w:rPr>
        <w:t>2021</w:t>
      </w:r>
    </w:p>
    <w:p>
      <w:pPr>
        <w:ind w:left="432"/>
      </w:pPr>
      <w:r>
        <w:rPr>
          <w:sz w:val="22"/>
        </w:rPr>
        <w:t xml:space="preserve">References to articles: </w:t>
      </w:r>
    </w:p>
    <w:p>
      <w:pPr>
        <w:ind w:left="864"/>
      </w:pPr>
      <w:r>
        <w:t>可可西里综合科学考察队. (1996). 青海可可西里地区生物与人体高山生理.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FENG   Zuojian</w:t>
        <w:br/>
      </w:r>
      <w:r>
        <w:rPr>
          <w:sz w:val="22"/>
        </w:rPr>
        <w:t xml:space="preserve">unit: </w:t>
      </w:r>
      <w:r>
        <w:rPr>
          <w:sz w:val="22"/>
        </w:rPr>
        <w:br/>
      </w:r>
      <w:r>
        <w:rPr>
          <w:sz w:val="22"/>
        </w:rPr>
        <w:t xml:space="preserve">email: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