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全国各地区第二、三产业增加值和增长率及排序（2001-2018）</w:t>
      </w:r>
    </w:p>
    <w:p>
      <w:r>
        <w:rPr>
          <w:sz w:val="22"/>
        </w:rPr>
        <w:t>英文标题：Added value, growth rate and ranking of secondary and tertiary industries in different regions of China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第二、三产业增加值和增长率及排序（2001-2018）的统计数据，数据是按年份进行划分的。数据整理自青海省统计局发布的青海省统计年鉴。数据集包含18个数据表，各数据表结构相同。例如2018年的数据表共有3个字段：</w:t>
        <w:br/>
        <w:t>字段1：地区</w:t>
        <w:br/>
        <w:t>字段2：第二产业增加值</w:t>
        <w:br/>
        <w:t>字段3：第三产业增加值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第二、第三产业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工业增加值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全国各地区第二、三产业增加值和增长率及排序（2001-2018）. 时空三极环境大数据平台, </w:t>
      </w:r>
      <w:r>
        <w:t>2021</w:t>
      </w:r>
      <w:r>
        <w:t>.[</w:t>
      </w:r>
      <w:r>
        <w:t xml:space="preserve">Qinghai Provincial Bureau of Statistics. Added value, growth rate and ranking of secondary and tertiary industries in different regions of China (2001-2018).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