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青藏高原及东中亚地区典型湖泊区域全新世有效水分连续模拟结果</w:t>
      </w:r>
    </w:p>
    <w:p>
      <w:r>
        <w:rPr>
          <w:sz w:val="22"/>
        </w:rPr>
        <w:t>英文标题：Continuous simulation of Holocene effective moisture change in typical lake regions of the Tibetan Plateau and East and Central Asia</w:t>
      </w:r>
    </w:p>
    <w:p>
      <w:r>
        <w:rPr>
          <w:sz w:val="32"/>
        </w:rPr>
        <w:t>1、摘要</w:t>
      </w:r>
    </w:p>
    <w:p>
      <w:pPr>
        <w:ind w:firstLine="432"/>
      </w:pPr>
      <w:r>
        <w:rPr>
          <w:sz w:val="22"/>
        </w:rPr>
        <w:t>流域内的水量平衡可以通过单个湖泊的水位波动体现，而区域湖泊水位的一致性波动则可以反映区域有效水分的变化。以往的研究主要通过分析湖泊沉积物的多代用指标来重建过去的有效水分，缺少对区域有效水分变化的定量研究。青藏高原及东中亚地区典型湖泊区域全新世有效水分连续模拟结果数据集是基于湖泊能量平衡模型、湖泊水量平衡模型及瞬态气候演变模型，以构建的虚拟湖泊为载体，连续且定量地展示了青藏高原青海湖、沉错、班公错等以及东中亚地区青土湖、呼伦湖、岱海等湖泊区域全新世有效水分变化。模拟结果为探究千年尺度上湖泊演化过程提供了新的视角。</w:t>
      </w:r>
    </w:p>
    <w:p>
      <w:r>
        <w:rPr>
          <w:sz w:val="32"/>
        </w:rPr>
        <w:t>2、关键词</w:t>
      </w:r>
    </w:p>
    <w:p>
      <w:pPr>
        <w:ind w:left="432"/>
      </w:pPr>
      <w:r>
        <w:rPr>
          <w:sz w:val="22"/>
        </w:rPr>
        <w:t>主题关键词：</w:t>
      </w:r>
      <w:r>
        <w:rPr>
          <w:sz w:val="22"/>
        </w:rPr>
        <w:t>古气候模拟</w:t>
      </w:r>
      <w:r>
        <w:t>,</w:t>
      </w:r>
      <w:r>
        <w:rPr>
          <w:sz w:val="22"/>
        </w:rPr>
        <w:t>其他</w:t>
        <w:br/>
      </w:r>
      <w:r>
        <w:rPr>
          <w:sz w:val="22"/>
        </w:rPr>
        <w:t>学科关键词：</w:t>
      </w:r>
      <w:r>
        <w:rPr>
          <w:sz w:val="22"/>
        </w:rPr>
        <w:t>古环境</w:t>
        <w:br/>
      </w:r>
      <w:r>
        <w:rPr>
          <w:sz w:val="22"/>
        </w:rPr>
        <w:t>地点关键词：</w:t>
      </w:r>
      <w:r>
        <w:rPr>
          <w:sz w:val="22"/>
        </w:rPr>
        <w:t>青藏高原</w:t>
      </w:r>
      <w:r>
        <w:t xml:space="preserve">, </w:t>
      </w:r>
      <w:r>
        <w:rPr>
          <w:sz w:val="22"/>
        </w:rPr>
        <w:t>东中亚地区</w:t>
        <w:br/>
      </w:r>
      <w:r>
        <w:rPr>
          <w:sz w:val="22"/>
        </w:rPr>
        <w:t>时间关键词：</w:t>
      </w:r>
      <w:r>
        <w:rPr>
          <w:sz w:val="22"/>
        </w:rPr>
        <w:t>全新世</w:t>
      </w:r>
    </w:p>
    <w:p>
      <w:r>
        <w:rPr>
          <w:sz w:val="32"/>
        </w:rPr>
        <w:t>3、数据细节</w:t>
      </w:r>
    </w:p>
    <w:p>
      <w:pPr>
        <w:ind w:left="432"/>
      </w:pPr>
      <w:r>
        <w:rPr>
          <w:sz w:val="22"/>
        </w:rPr>
        <w:t>1.比例尺：None</w:t>
      </w:r>
    </w:p>
    <w:p>
      <w:pPr>
        <w:ind w:left="432"/>
      </w:pPr>
      <w:r>
        <w:rPr>
          <w:sz w:val="22"/>
        </w:rPr>
        <w:t>2.投影：</w:t>
      </w:r>
    </w:p>
    <w:p>
      <w:pPr>
        <w:ind w:left="432"/>
      </w:pPr>
      <w:r>
        <w:rPr>
          <w:sz w:val="22"/>
        </w:rPr>
        <w:t>3.文件大小：0.0195MB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北：60.0</w:t>
            </w:r>
          </w:p>
        </w:tc>
        <w:tc>
          <w:tcPr>
            <w:tcW w:type="dxa" w:w="2880"/>
          </w:tcPr>
          <w:p>
            <w:r>
              <w:t>-</w:t>
            </w:r>
          </w:p>
        </w:tc>
      </w:tr>
      <w:tr>
        <w:tc>
          <w:tcPr>
            <w:tcW w:type="dxa" w:w="2880"/>
          </w:tcPr>
          <w:p>
            <w:r>
              <w:t>西：60.0</w:t>
            </w:r>
          </w:p>
        </w:tc>
        <w:tc>
          <w:tcPr>
            <w:tcW w:type="dxa" w:w="2880"/>
          </w:tcPr>
          <w:p>
            <w:r>
              <w:t>-</w:t>
            </w:r>
          </w:p>
        </w:tc>
        <w:tc>
          <w:tcPr>
            <w:tcW w:type="dxa" w:w="2880"/>
          </w:tcPr>
          <w:p>
            <w:r>
              <w:t>东：135.0</w:t>
            </w:r>
          </w:p>
        </w:tc>
      </w:tr>
      <w:tr>
        <w:tc>
          <w:tcPr>
            <w:tcW w:type="dxa" w:w="2880"/>
          </w:tcPr>
          <w:p>
            <w:r>
              <w:t>-</w:t>
            </w:r>
          </w:p>
        </w:tc>
        <w:tc>
          <w:tcPr>
            <w:tcW w:type="dxa" w:w="2880"/>
          </w:tcPr>
          <w:p>
            <w:r>
              <w:t>南：15.0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李育. 青藏高原及东中亚地区典型湖泊区域全新世有效水分连续模拟结果. 时空三极环境大数据平台, DOI:10.11888/Paleoenv.tpdc.272189, CSTR:18406.11.Paleoenv.tpdc.272189, </w:t>
      </w:r>
      <w:r>
        <w:t>2022</w:t>
      </w:r>
      <w:r>
        <w:t>.[</w:t>
      </w:r>
      <w:r>
        <w:t xml:space="preserve">LI   Yu . Continuous simulation of Holocene effective moisture change in typical lake regions of the Tibetan Plateau and East and Central Asia. A Big Earth Data Platform for Three Poles, DOI:10.11888/Paleoenv.tpdc.272189, CSTR:18406.11.Paleoenv.tpdc.272189, </w:t>
      </w:r>
      <w:r>
        <w:t>2022</w:t>
      </w:r>
      <w:r>
        <w:rPr>
          <w:sz w:val="22"/>
        </w:rPr>
        <w:t>]</w:t>
      </w:r>
    </w:p>
    <w:p>
      <w:pPr>
        <w:ind w:left="432"/>
      </w:pPr>
      <w:r>
        <w:rPr>
          <w:sz w:val="22"/>
        </w:rPr>
        <w:t xml:space="preserve">文章的引用: </w:t>
      </w:r>
    </w:p>
    <w:p>
      <w:pPr>
        <w:ind w:left="864"/>
      </w:pPr>
      <w:r>
        <w:t>李育, 张宇欣, 张新中, 叶旺庭, 徐玲梅, 韩琴, 李依婵, 刘和斌, 彭思敏. (2020). 以东亚及中亚地区虚拟湖泊水位变化为代表的全新世有效水分变化的连续模拟. 中国科学:地球科学, 50, 1106-1121.</w:t>
        <w:br/>
        <w:br/>
      </w:r>
      <w:r>
        <w:t>Li, Y., Zhang, Y.X., Zhang, X.Z., Ye, W.T., Xu, L.M., Han, Q., Li, Y.C., Liu, H.B., &amp; Peng, S.M. (2020). A continuous simulation of Holocene effective moisture change represented by variability of virtual lake level in East and Central Asia. Science China Earth Sciences, 63, 1161-1175.</w:t>
        <w:br/>
        <w:br/>
      </w:r>
    </w:p>
    <w:p>
      <w:r>
        <w:rPr>
          <w:sz w:val="32"/>
        </w:rPr>
        <w:t>7、资助项目信息</w:t>
      </w:r>
    </w:p>
    <w:p>
      <w:pPr>
        <w:ind w:left="432"/>
      </w:pPr>
      <w:r>
        <w:rPr>
          <w:sz w:val="22"/>
        </w:rPr>
        <w:t>第二次青藏高原综合科学考察研究</w:t>
        <w:br/>
      </w:r>
      <w:r>
        <w:rPr>
          <w:sz w:val="22"/>
        </w:rPr>
        <w:t>第二次青藏高原综合科学考察研究（2019QZKK0202）</w:t>
        <w:br/>
      </w:r>
    </w:p>
    <w:p>
      <w:r>
        <w:rPr>
          <w:sz w:val="32"/>
        </w:rPr>
        <w:t>8、数据资源提供者</w:t>
      </w:r>
    </w:p>
    <w:p>
      <w:pPr>
        <w:ind w:left="432"/>
      </w:pPr>
      <w:r>
        <w:rPr>
          <w:sz w:val="22"/>
        </w:rPr>
        <w:t xml:space="preserve">姓名: </w:t>
      </w:r>
      <w:r>
        <w:rPr>
          <w:sz w:val="22"/>
        </w:rPr>
        <w:t>李育</w:t>
        <w:br/>
      </w:r>
      <w:r>
        <w:rPr>
          <w:sz w:val="22"/>
        </w:rPr>
        <w:t xml:space="preserve">单位: </w:t>
      </w:r>
      <w:r>
        <w:rPr>
          <w:sz w:val="22"/>
        </w:rPr>
        <w:t>兰州大学</w:t>
        <w:br/>
      </w:r>
      <w:r>
        <w:rPr>
          <w:sz w:val="22"/>
        </w:rPr>
        <w:t xml:space="preserve">电子邮件: </w:t>
      </w:r>
      <w:r>
        <w:rPr>
          <w:sz w:val="22"/>
        </w:rPr>
        <w:t>liyu@lzu.edu.cn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