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雅鲁藏布江流域、金沙江流域、澜沧江流域、怒江流域、吉太曲流域、其他国际河流、内陆河流水能资源统计表（2017）</w:t>
      </w:r>
    </w:p>
    <w:p>
      <w:r>
        <w:rPr>
          <w:sz w:val="22"/>
        </w:rPr>
        <w:t>英文标题：Statistical table of water energy resources of Yarlung Zangbo River Basin, Jinsha River Basin, Lancang River Basin, Nujiang River Basin, jitaiqu River Basin, other international rivers and inland rivers (2017)</w:t>
      </w:r>
    </w:p>
    <w:p>
      <w:r>
        <w:rPr>
          <w:sz w:val="32"/>
        </w:rPr>
        <w:t>1、摘要</w:t>
      </w:r>
    </w:p>
    <w:p>
      <w:pPr>
        <w:ind w:firstLine="432"/>
      </w:pPr>
      <w:r>
        <w:rPr>
          <w:sz w:val="22"/>
        </w:rPr>
        <w:t>数据内容包括：流域面积、多年平均流量、河道总长、天然落差、利用落差、理论蕴藏量、技术可开发装机容量和年发电量。除藏南地区和无资料地区外，各流域数据为实地测量并经分析计算得到，藏南地区和无资料地区数据利用ASTER GDEM V2及中国数字水电平台解析河流基本信息并经分析计算而来。所有数据均由水电水利规划设计总院评审认定。西藏水能资源是西藏清洁能源和我国清洁能源最为重要的组成部分、是西藏实现以清洁能源体系支撑经济社会发展最可依赖的能源、也是未来我国清洁能源产业发展的重点。本次提交的水能资源统计数据将为西藏水能资源的合理开发利用和在国家能源发展战略中的定位研究提供基础。</w:t>
        <w:br/>
        <w:t>数据分析和统计时间为2017年。</w:t>
      </w:r>
    </w:p>
    <w:p>
      <w:r>
        <w:rPr>
          <w:sz w:val="32"/>
        </w:rPr>
        <w:t>2、关键词</w:t>
      </w:r>
    </w:p>
    <w:p>
      <w:pPr>
        <w:ind w:left="432"/>
      </w:pPr>
      <w:r>
        <w:rPr>
          <w:sz w:val="22"/>
        </w:rPr>
        <w:t>主题关键词：</w:t>
      </w:r>
      <w:r>
        <w:rPr>
          <w:sz w:val="22"/>
        </w:rPr>
        <w:t>可再生资源</w:t>
      </w:r>
      <w:r>
        <w:t>,</w:t>
      </w:r>
      <w:r>
        <w:rPr>
          <w:sz w:val="22"/>
        </w:rPr>
        <w:t>水电</w:t>
        <w:br/>
      </w:r>
      <w:r>
        <w:rPr>
          <w:sz w:val="22"/>
        </w:rPr>
        <w:t>学科关键词：</w:t>
      </w:r>
      <w:r>
        <w:rPr>
          <w:sz w:val="22"/>
        </w:rPr>
        <w:t>人地关系</w:t>
        <w:br/>
      </w:r>
      <w:r>
        <w:rPr>
          <w:sz w:val="22"/>
        </w:rPr>
        <w:t>地点关键词：</w:t>
      </w:r>
      <w:r>
        <w:rPr>
          <w:sz w:val="22"/>
        </w:rPr>
        <w:t>西藏自治区</w:t>
        <w:br/>
      </w:r>
      <w:r>
        <w:rPr>
          <w:sz w:val="22"/>
        </w:rPr>
        <w:t>时间关键词：</w:t>
      </w:r>
      <w:r>
        <w:rPr>
          <w:sz w:val="22"/>
        </w:rPr>
        <w:t>2017</w:t>
      </w:r>
      <w:r>
        <w:t xml:space="preserve">, </w:t>
      </w:r>
      <w:r>
        <w:rPr>
          <w:sz w:val="22"/>
        </w:rPr>
        <w:t>多年平均</w:t>
      </w:r>
    </w:p>
    <w:p>
      <w:r>
        <w:rPr>
          <w:sz w:val="32"/>
        </w:rPr>
        <w:t>3、数据细节</w:t>
      </w:r>
    </w:p>
    <w:p>
      <w:pPr>
        <w:ind w:left="432"/>
      </w:pPr>
      <w:r>
        <w:rPr>
          <w:sz w:val="22"/>
        </w:rPr>
        <w:t>1.比例尺：None</w:t>
      </w:r>
    </w:p>
    <w:p>
      <w:pPr>
        <w:ind w:left="432"/>
      </w:pPr>
      <w:r>
        <w:rPr>
          <w:sz w:val="22"/>
        </w:rPr>
        <w:t>2.投影：</w:t>
      </w:r>
    </w:p>
    <w:p>
      <w:pPr>
        <w:ind w:left="432"/>
      </w:pPr>
      <w:r>
        <w:rPr>
          <w:sz w:val="22"/>
        </w:rPr>
        <w:t>3.文件大小：0.14MB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北：36.88</w:t>
            </w:r>
          </w:p>
        </w:tc>
        <w:tc>
          <w:tcPr>
            <w:tcW w:type="dxa" w:w="2880"/>
          </w:tcPr>
          <w:p>
            <w:r>
              <w:t>-</w:t>
            </w:r>
          </w:p>
        </w:tc>
      </w:tr>
      <w:tr>
        <w:tc>
          <w:tcPr>
            <w:tcW w:type="dxa" w:w="2880"/>
          </w:tcPr>
          <w:p>
            <w:r>
              <w:t>西：78.42</w:t>
            </w:r>
          </w:p>
        </w:tc>
        <w:tc>
          <w:tcPr>
            <w:tcW w:type="dxa" w:w="2880"/>
          </w:tcPr>
          <w:p>
            <w:r>
              <w:t>-</w:t>
            </w:r>
          </w:p>
        </w:tc>
        <w:tc>
          <w:tcPr>
            <w:tcW w:type="dxa" w:w="2880"/>
          </w:tcPr>
          <w:p>
            <w:r>
              <w:t>东：99.1</w:t>
            </w:r>
          </w:p>
        </w:tc>
      </w:tr>
      <w:tr>
        <w:tc>
          <w:tcPr>
            <w:tcW w:type="dxa" w:w="2880"/>
          </w:tcPr>
          <w:p>
            <w:r>
              <w:t>-</w:t>
            </w:r>
          </w:p>
        </w:tc>
        <w:tc>
          <w:tcPr>
            <w:tcW w:type="dxa" w:w="2880"/>
          </w:tcPr>
          <w:p>
            <w:r>
              <w:t>南：26.83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刘岩, 李学军. 雅鲁藏布江流域、金沙江流域、澜沧江流域、怒江流域、吉太曲流域、其他国际河流、内陆河流水能资源统计表（2017）. 时空三极环境大数据平台, DOI:10.11888/Socioeco.tpdc.271264, CSTR:18406.11.Socioeco.tpdc.271264, </w:t>
      </w:r>
      <w:r>
        <w:t>2021</w:t>
      </w:r>
      <w:r>
        <w:t>.[</w:t>
      </w:r>
      <w:r>
        <w:t xml:space="preserve">Statistical table of water energy resources of Yarlung Zangbo River Basin, Jinsha River Basin, Lancang River Basin, Nujiang River Basin, jitaiqu River Basin, other international rivers and inland rivers (2017). A Big Earth Data Platform for Three Poles, DOI:10.11888/Socioeco.tpdc.271264, CSTR:18406.11.Socioeco.tpdc.271264,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刘岩</w:t>
        <w:br/>
      </w:r>
      <w:r>
        <w:rPr>
          <w:sz w:val="22"/>
        </w:rPr>
        <w:t xml:space="preserve">单位: </w:t>
      </w:r>
      <w:r>
        <w:rPr>
          <w:sz w:val="22"/>
        </w:rPr>
        <w:t>中国电建集团成都勘测设计研究院有限公司</w:t>
        <w:br/>
      </w:r>
      <w:r>
        <w:rPr>
          <w:sz w:val="22"/>
        </w:rPr>
        <w:t xml:space="preserve">电子邮件: </w:t>
      </w:r>
      <w:r>
        <w:rPr>
          <w:sz w:val="22"/>
        </w:rPr>
        <w:t>1245060120@qq.com</w:t>
        <w:br/>
        <w:br/>
      </w:r>
      <w:r>
        <w:rPr>
          <w:sz w:val="22"/>
        </w:rPr>
        <w:t xml:space="preserve">姓名: </w:t>
      </w:r>
      <w:r>
        <w:rPr>
          <w:sz w:val="22"/>
        </w:rPr>
        <w:t>李学军</w:t>
        <w:br/>
      </w:r>
      <w:r>
        <w:rPr>
          <w:sz w:val="22"/>
        </w:rPr>
        <w:t xml:space="preserve">单位: </w:t>
      </w:r>
      <w:r>
        <w:rPr>
          <w:sz w:val="22"/>
        </w:rPr>
        <w:t>中国电建集团成都勘测设计研究院有限公司</w:t>
        <w:br/>
      </w:r>
      <w:r>
        <w:rPr>
          <w:sz w:val="22"/>
        </w:rPr>
        <w:t xml:space="preserve">电子邮件: </w:t>
      </w:r>
      <w:r>
        <w:rPr>
          <w:sz w:val="22"/>
        </w:rPr>
        <w:t>1339932127@qq.com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