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亚洲水塔区和喜马拉雅山周边地区多灾种直接经济损失风险数据</w:t>
      </w:r>
    </w:p>
    <w:p>
      <w:r>
        <w:rPr>
          <w:sz w:val="22"/>
        </w:rPr>
        <w:t>英文标题：Direct economic loss risk in the Asian Water Tower area and surrounding areas of the Himalayas</w:t>
      </w:r>
    </w:p>
    <w:p>
      <w:r>
        <w:rPr>
          <w:sz w:val="32"/>
        </w:rPr>
        <w:t>1、摘要</w:t>
      </w:r>
    </w:p>
    <w:p>
      <w:pPr>
        <w:ind w:firstLine="432"/>
      </w:pPr>
      <w:r>
        <w:rPr>
          <w:sz w:val="22"/>
        </w:rPr>
        <w:t>本数据组合了地震和地质灾害的直接经济损失风险评估结果，按所得损失评估结果大小将研究区按风险等级划分为九类，分别为地震地质低风险区，地质中地震低风险区，地震中地质低风险区，地震地质中风险区，地质高地震中风险区，地震高地质低风险区，地质高地震低风险区，地震高地质低风险区以及地震地质高风险区。本次多灾种直接经济损失风险评估的数据结果为亚洲水塔区和喜马拉雅山周边地区未来直接经济损失在空间上的分布提供了依据。</w:t>
      </w:r>
    </w:p>
    <w:p>
      <w:r>
        <w:rPr>
          <w:sz w:val="32"/>
        </w:rPr>
        <w:t>2、关键词</w:t>
      </w:r>
    </w:p>
    <w:p>
      <w:pPr>
        <w:ind w:left="432"/>
      </w:pPr>
      <w:r>
        <w:rPr>
          <w:sz w:val="22"/>
        </w:rPr>
        <w:t>主题关键词：</w:t>
      </w:r>
      <w:r>
        <w:rPr>
          <w:sz w:val="22"/>
        </w:rPr>
        <w:t>直接经济损失</w:t>
      </w:r>
      <w:r>
        <w:t>,</w:t>
      </w:r>
      <w:r>
        <w:rPr>
          <w:sz w:val="22"/>
        </w:rPr>
        <w:t>自然灾害</w:t>
      </w:r>
      <w:r>
        <w:t>,</w:t>
      </w:r>
      <w:r>
        <w:rPr>
          <w:sz w:val="22"/>
        </w:rPr>
        <w:t>多灾种</w:t>
        <w:br/>
      </w:r>
      <w:r>
        <w:rPr>
          <w:sz w:val="22"/>
        </w:rPr>
        <w:t>学科关键词：</w:t>
      </w:r>
      <w:r>
        <w:rPr>
          <w:sz w:val="22"/>
        </w:rPr>
        <w:t>人地关系</w:t>
        <w:br/>
      </w:r>
      <w:r>
        <w:rPr>
          <w:sz w:val="22"/>
        </w:rPr>
        <w:t>地点关键词：</w:t>
      </w:r>
      <w:r>
        <w:rPr>
          <w:sz w:val="22"/>
        </w:rPr>
        <w:t>喜马拉雅山区</w:t>
        <w:br/>
      </w:r>
      <w:r>
        <w:rPr>
          <w:sz w:val="22"/>
        </w:rPr>
        <w:t>时间关键词：</w:t>
      </w:r>
      <w:r>
        <w:rPr>
          <w:sz w:val="22"/>
        </w:rPr>
        <w:t>未来</w:t>
      </w:r>
    </w:p>
    <w:p>
      <w:r>
        <w:rPr>
          <w:sz w:val="32"/>
        </w:rPr>
        <w:t>3、数据细节</w:t>
      </w:r>
    </w:p>
    <w:p>
      <w:pPr>
        <w:ind w:left="432"/>
      </w:pPr>
      <w:r>
        <w:rPr>
          <w:sz w:val="22"/>
        </w:rPr>
        <w:t>1.比例尺：None</w:t>
      </w:r>
    </w:p>
    <w:p>
      <w:pPr>
        <w:ind w:left="432"/>
      </w:pPr>
      <w:r>
        <w:rPr>
          <w:sz w:val="22"/>
        </w:rPr>
        <w:t>2.投影：GCS_China_Geodetic_Coordinate_System_2000</w:t>
      </w:r>
    </w:p>
    <w:p>
      <w:pPr>
        <w:ind w:left="432"/>
      </w:pPr>
      <w:r>
        <w:rPr>
          <w:sz w:val="22"/>
        </w:rPr>
        <w:t>3.文件大小：27.0MB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西：74.0</w:t>
            </w:r>
          </w:p>
        </w:tc>
        <w:tc>
          <w:tcPr>
            <w:tcW w:type="dxa" w:w="2880"/>
          </w:tcPr>
          <w:p>
            <w:r>
              <w:t>-</w:t>
            </w:r>
          </w:p>
        </w:tc>
        <w:tc>
          <w:tcPr>
            <w:tcW w:type="dxa" w:w="2880"/>
          </w:tcPr>
          <w:p>
            <w:r>
              <w:t>东：103.0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吴吉东. 亚洲水塔区和喜马拉雅山周边地区多灾种直接经济损失风险数据. 时空三极环境大数据平台, DOI:10.11888/HumanNat.tpdc.271924, CSTR:18406.11.HumanNat.tpdc.271924, </w:t>
      </w:r>
      <w:r>
        <w:t>2021</w:t>
      </w:r>
      <w:r>
        <w:t>.[</w:t>
      </w:r>
      <w:r>
        <w:t xml:space="preserve">WU   Jidong. Direct economic loss risk in the Asian Water Tower area and surrounding areas of the Himalayas. A Big Earth Data Platform for Three Poles, DOI:10.11888/HumanNat.tpdc.271924, CSTR:18406.11.HumanNat.tpdc.271924,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吴吉东</w:t>
        <w:br/>
      </w:r>
      <w:r>
        <w:rPr>
          <w:sz w:val="22"/>
        </w:rPr>
        <w:t xml:space="preserve">单位: </w:t>
      </w:r>
      <w:r>
        <w:rPr>
          <w:sz w:val="22"/>
        </w:rPr>
        <w:t>北京师范大学</w:t>
        <w:br/>
      </w:r>
      <w:r>
        <w:rPr>
          <w:sz w:val="22"/>
        </w:rPr>
        <w:t xml:space="preserve">电子邮件: </w:t>
      </w:r>
      <w:r>
        <w:rPr>
          <w:sz w:val="22"/>
        </w:rPr>
        <w:t>wujidong@bnu.edu.cn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