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泛第三极地区生态环境数据集（2000-2015）</w:t>
      </w:r>
    </w:p>
    <w:p>
      <w:r>
        <w:rPr>
          <w:sz w:val="22"/>
        </w:rPr>
        <w:t>英文标题：Ecological environment dataset of the Pan-third Pole region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1）数据内容：泛第三极地区基于遥感反演的主要生态环境数据，包含PM2.5浓度、森林覆盖率、EVI、土地覆被、CO2等指标；2）数据来源及加工方法：PM2.5数据来源于the Atmospheric Composition Analysis Group Web site at Dalhousie University、森林覆盖度数据来源于MODIS Vegetation Continuous Fields (VCF)，CO2数据来源于ODIAC Fossil fuel emission dataset，EVI数据来源于MODIS Vegetation Index Products，土地覆被数据来源ESA CCI Land cover。提取出泛第三极65个国家和地区，其他未进行加工；3）数据质量描述：数据2000-2015年数据时间序列较好；4）数据应用成果及前景：可用于生态环境变化分析。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2000-11-01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李广东. 泛第三极地区生态环境数据集（2000-2015）. 时空三极环境大数据平台, </w:t>
      </w:r>
      <w:r>
        <w:t>2020</w:t>
      </w:r>
      <w:r>
        <w:t>.[</w:t>
      </w:r>
      <w:r>
        <w:t xml:space="preserve">LI Guangdong. Ecological environment dataset of the Pan-third Pole region (2000-2015).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李广东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ligd@igsnrr.ac.cn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