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不同RCP情景下三极多年冻土区碳通量后处理集合产品（2046-2065）</w:t>
      </w:r>
    </w:p>
    <w:p>
      <w:r>
        <w:rPr>
          <w:sz w:val="22"/>
        </w:rPr>
        <w:t>英文标题：Carbon flux post-processing ensemble products for the Three Pole permafrost region under different RCP scenarios from 2046-2065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三极多年冻土区碳通量原始数据通过GCM模型模拟生成，原始数据来源于http://www.cryosphere.csdb.cn/portal/metadata/5abef388-3f3f-4802-b3de-f4d233cb333b。本数据集包含了未来2046-2065年间不同典型浓度路径（Representative Concentration Pathways，RCP）下的未来情景预估，包括RCP2.6情景、RCP4.5情景、RCP8.5情景。原始数据包括青藏高原多年冻土区NPP和GPP等表征碳通量的参数，数据格式为NetCDF4格式，数据空间分辨率为0.5°，时间分辨率为年。本研究工作通过对其进行数据格式转换、空间插值等后处理操作，生成了NetCDF4格式的多年冻土区NPP和GPP数据，其空间分辨率为0.1°，时间分辨率为年，时间范围为2046-2065年，数据单位为gc/m2yr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碳通量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2046-2065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3.文件大小：26.9MB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2045-12-31 16:00:00+00:00</w:t>
      </w:r>
      <w:r>
        <w:rPr>
          <w:sz w:val="22"/>
        </w:rPr>
        <w:t>--</w:t>
      </w:r>
      <w:r>
        <w:rPr>
          <w:sz w:val="22"/>
        </w:rPr>
        <w:t>2065-12-30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叶爱中. 不同RCP情景下三极多年冻土区碳通量后处理集合产品（2046-2065）. 时空三极环境大数据平台, DOI:10.11888/Cryos.tpdc.272717, CSTR:18406.11.Cryos.tpdc.272717, </w:t>
      </w:r>
      <w:r>
        <w:t>2022</w:t>
      </w:r>
      <w:r>
        <w:t>.[</w:t>
      </w:r>
      <w:r>
        <w:t xml:space="preserve">YE Aizhong. Carbon flux post-processing ensemble products for the Three Pole permafrost region under different RCP scenarios from 2046-2065. A Big Earth Data Platform for Three Poles, DOI:10.11888/Cryos.tpdc.272717, CSTR:18406.11.Cryos.tpdc.272717,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Yi, S., Wang, X., Qin, Y., Xiang, B., &amp; Ding, Y. (2014). Responses of alpine grassland on Qinghai-Tibetan Plateau to climate warming and permafrost degradation: a modeling perspective. Environmental Research Letters, 9, 074014, doi:10.1088/1748-9326/9/7/074014.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叶爱中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azye@bnu.edu.cn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