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咸海流域土地利用数据（2000-2020）</w:t>
      </w:r>
    </w:p>
    <w:p>
      <w:r>
        <w:rPr>
          <w:sz w:val="22"/>
        </w:rPr>
        <w:t>英文标题：A dataset of land use and land cover in the Aral Sea Basin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：该数据集包含了咸海流域2000-2020年的土地利用情况；（2）数据来源及加工方法：该数据集来源于欧洲航天局的气候变化倡议土地覆盖地图（http://maps.elie.ucl.ac.be/CCI），在此基础上用咸海流域的边界数据进行掩膜处理，提取出咸海流域的土地利用，同时，根据一定的规则进行合并，将原始的二级类数据合并为包含7个土地利用类型的一级类数据，坐标系为：WGS-1984；（3）数据质量描述：根据现有研究，该数据集的整体准确率达到80%；（4）该数据集可以为生态保护和环境评估提供基础数据支撑，也可以做为土地利用模拟的原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土地利用变化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咸海流域土地利用数据（2000-2020）. 时空三极环境大数据平台, </w:t>
      </w:r>
      <w:r>
        <w:t>2021</w:t>
      </w:r>
      <w:r>
        <w:t>.[</w:t>
      </w:r>
      <w:r>
        <w:t xml:space="preserve">LIU   Tie. A dataset of land use and land cover in the Aral Sea Basin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