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黑河流域现状工程条件下 “97” 分水曲线方案优化（1957-2010）</w:t>
      </w:r>
    </w:p>
    <w:p>
      <w:r>
        <w:rPr>
          <w:sz w:val="22"/>
        </w:rPr>
        <w:t>英文标题：Scheme optimization of "97" water diversion curve under the current engineering conditions of Heihe river basin (1957-2010)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分水方案优化的原则及黑河流域经济社会和生态发展状态，提出以下三种分水方案优化方案。方案1各来水年中游耗水均为6.3亿m3，方案2在90%和75%来水年分别增大中游耗水1.8亿m3和0.6亿m3，方案3在大于90%来水年，莺落峡来水大于19亿m3时，超过19亿m3的水量按照中游分配40%、下游分配60%。同时，为了保持莺落峡多年平均来水15.8亿m3，正义峡下泄9.5亿m3，莺落峡来水小于12.9亿m3时，小于12.9亿m3的水量按照中游分配60%、下游分配40%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水资源规划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1957-2012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4.数据格式：数据格式，例如 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1957-01-10 12:00:00+00:00</w:t>
      </w:r>
      <w:r>
        <w:rPr>
          <w:sz w:val="22"/>
        </w:rPr>
        <w:t>--</w:t>
      </w:r>
      <w:r>
        <w:rPr>
          <w:sz w:val="22"/>
        </w:rPr>
        <w:t>2013-01-10 03:29:00+00:00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蒋晓辉. 黑河流域现状工程条件下 “97” 分水曲线方案优化（1957-2010）. 时空三极环境大数据平台, DOI:10.11888/Socioeco.tpdc.270557, CSTR:18406.11.Socioeco.tpdc.270557, </w:t>
      </w:r>
      <w:r>
        <w:t>2017</w:t>
      </w:r>
      <w:r>
        <w:t>.[</w:t>
      </w:r>
      <w:r>
        <w:t xml:space="preserve">JIANG  Xiaohui. Scheme optimization of "97" water diversion curve under the current engineering conditions of Heihe river basin (1957-2010). A Big Earth Data Platform for Three Poles, DOI:10.11888/Socioeco.tpdc.270557, CSTR:18406.11.Socioeco.tpdc.270557,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蒋晓辉</w:t>
        <w:br/>
      </w:r>
      <w:r>
        <w:rPr>
          <w:sz w:val="22"/>
        </w:rPr>
        <w:t xml:space="preserve">单位: </w:t>
      </w:r>
      <w:r>
        <w:rPr>
          <w:sz w:val="22"/>
        </w:rPr>
        <w:t>黄河水利委员会黄河水利科学研究院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jxh3412@163.com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