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湖南东北部万古-黄金洞金矿区硫化物电子探针地球化学数据</w:t>
      </w:r>
    </w:p>
    <w:p>
      <w:r>
        <w:rPr>
          <w:sz w:val="22"/>
        </w:rPr>
        <w:t>英文标题：EPMA geochemica of sulfide in Wangu gold deposit, Northeastern Hunan Province</w:t>
      </w:r>
    </w:p>
    <w:p>
      <w:r>
        <w:rPr>
          <w:sz w:val="32"/>
        </w:rPr>
        <w:t>1、摘要</w:t>
      </w:r>
    </w:p>
    <w:p>
      <w:pPr>
        <w:ind w:firstLine="432"/>
      </w:pPr>
      <w:r>
        <w:rPr>
          <w:sz w:val="22"/>
        </w:rPr>
        <w:t>2017年，在详细的岩相学和成矿期次划分的基础上，选取了20个薄片，在镜下先将需要测试的矿物圈定出来，并拍摄显微照片用于在实验时找到对应矿物点的位置。然后对抛光的薄片进行喷碳，并随后进行电子探针（EMPA）测试，本文的电磁探针测试分两次进行，共测试了207个点。两次电子探针（EPMA）分析在用两种不同仪器进行，分别为中国科学院广州地球化学研究所同位素地球化学国家重点实验室JEOL JXA-8100电子探针和中国科学院广州地球化学研究所矿物与成矿中科院重点实验室JEOL JXA-8230电子探针。JEOL JXA-8100的分析条件为：15kV加速电压，直径为5 μm电子束斑。JEOL JXA-8120的分析条件为：20kV加速电压，20 nA电流，束斑直径为1 μm。电子探针分析的主量元素包括As，Fe，Pb，Zn，Cu，Sb和S，微量元素包括Au，Ag，Se，Co，Bi，Ni，Cu，Sb，Zn，Pt，Pd和Te。JEOL JXA-8100和JEOL JXA-8230型电子探针对于金的检测限分别为409 ppm和259 ppm。</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3.文件大小：0.83MB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湖南东北部万古-黄金洞金矿区硫化物电子探针地球化学数据. 时空三极环境大数据平台, DOI:10.1016/j.oregeorev.2017.01.012, CSTR:, </w:t>
      </w:r>
      <w:r>
        <w:t>2021</w:t>
      </w:r>
      <w:r>
        <w:t>.[</w:t>
      </w:r>
      <w:r>
        <w:t xml:space="preserve">DENG   Teng. EPMA geochemica of sulfide in Wangu gold deposit, Northeastern Hunan Province. A Big Earth Data Platform for Three Poles, DOI:10.1016/j.oregeorev.2017.01.012, CSTR:, </w:t>
      </w:r>
      <w:r>
        <w:t>2021</w:t>
      </w:r>
      <w:r>
        <w:rPr>
          <w:sz w:val="22"/>
        </w:rPr>
        <w:t>]</w:t>
      </w:r>
    </w:p>
    <w:p>
      <w:pPr>
        <w:ind w:left="432"/>
      </w:pPr>
      <w:r>
        <w:rPr>
          <w:sz w:val="22"/>
        </w:rPr>
        <w:t xml:space="preserve">文章的引用: </w:t>
      </w:r>
    </w:p>
    <w:p>
      <w:pPr>
        <w:ind w:left="864"/>
      </w:pPr>
      <w:r>
        <w:t>Deng, T., Xu, D., Chi, G., Wang, Z., Jiao, Q., Ning, J., ... &amp; Zou, F. (2017). Geology, geochronology, geochemistry and ore genesis of the Wangu gold deposit in northeastern Hunan Province, Jiangnan Orogen, South China. Ore Geology Reviews, 88, 619-637.</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