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“一带一路”沿线国家分区贫困发生率（2012-2018）</w:t>
      </w:r>
    </w:p>
    <w:p>
      <w:r>
        <w:rPr>
          <w:sz w:val="22"/>
        </w:rPr>
        <w:t>英文标题：The regional poverty rate of the countries along the Silk Roads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套数据基于夜间灯光数据与宏观统计数据，运用遥感反演方法(500m*500m)得出国别及区域贫困发生率，具有三大优点:（1）计算单元可根据行政区边界调整，可反映统计上少有的大国次区域尺度上的贫困发生率；（2）调查及汇总周期限制了国家及大国次区域尺度上的更新速度，而基于夜间灯光数据估算的方法更新便捷。（3）因夜间灯光数据有多年连续的年际数据，克服了较长时间段内贫困发生率指标数据难以获取的困难。鉴于以上三大突出优点，该套数据集可以更好地支撑课题研究工作，并为摸清“一带一路”沿线国家及区域贫困的基本状况提供科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灯光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贫困发生率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16:00:00+00:00</w:t>
      </w:r>
      <w:r>
        <w:rPr>
          <w:sz w:val="22"/>
        </w:rPr>
        <w:t>--</w:t>
      </w:r>
      <w:r>
        <w:rPr>
          <w:sz w:val="22"/>
        </w:rPr>
        <w:t>2019-01-08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张倩, 张林秀. “一带一路”沿线国家分区贫困发生率（2012-2018）. 时空三极环境大数据平台, </w:t>
      </w:r>
      <w:r>
        <w:t>2020</w:t>
      </w:r>
      <w:r>
        <w:t>.[</w:t>
      </w:r>
      <w:r>
        <w:t xml:space="preserve">ZHANG Qian, Linxiu  ZHANG. The regional poverty rate of the countries along the Silk Roads (2012-2018).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zhangq.ccap@igsnrr.ac.cn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